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附件</w:t>
      </w:r>
      <w:r>
        <w:rPr>
          <w:rFonts w:hint="eastAsia" w:ascii="仿宋" w:hAnsi="仿宋" w:eastAsia="仿宋" w:cs="仿宋"/>
          <w:color w:val="000000" w:themeColor="text1"/>
          <w:sz w:val="32"/>
          <w:szCs w:val="32"/>
          <w:lang w:val="en-US" w:eastAsia="zh-CN"/>
          <w14:textFill>
            <w14:solidFill>
              <w14:schemeClr w14:val="tx1"/>
            </w14:solidFill>
          </w14:textFill>
        </w:rPr>
        <w:t>2：</w:t>
      </w:r>
    </w:p>
    <w:p>
      <w:pPr>
        <w:spacing w:line="360" w:lineRule="auto"/>
        <w:jc w:val="center"/>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z w:val="36"/>
          <w:szCs w:val="36"/>
          <w14:textFill>
            <w14:solidFill>
              <w14:schemeClr w14:val="tx1"/>
            </w14:solidFill>
          </w14:textFill>
        </w:rPr>
        <w:t>《创新创业精英训练营》课程实施方案</w:t>
      </w:r>
    </w:p>
    <w:p>
      <w:pPr>
        <w:spacing w:before="156" w:beforeLines="50" w:after="156" w:afterLines="50" w:line="360" w:lineRule="auto"/>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一、课程属性</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课程名称：创新创业精英训练营</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课程教材：自编教材</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学分/学时：2学分/24学时</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课程性质：创新创业与素质拓展类</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考核方式：考查</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课程类别：公共选修课</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开课单位：创新创业学院（筹）</w:t>
      </w:r>
      <w:bookmarkStart w:id="0" w:name="_GoBack"/>
      <w:bookmarkEnd w:id="0"/>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授课对象：全校学生</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开班方式：师生互选</w:t>
      </w:r>
    </w:p>
    <w:p>
      <w:pPr>
        <w:spacing w:before="156" w:beforeLines="50" w:after="156" w:afterLines="50" w:line="360" w:lineRule="auto"/>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二、课程教学目标</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本课程是面向全校学生开设的公共选修课程，是对学生进行创新创业素质提升教育的主要途径。根据《国务院办公厅关于深化高等学校创新创业教育改革的实施意见》</w:t>
      </w:r>
      <w:r>
        <w:rPr>
          <w:rFonts w:hint="eastAsia" w:ascii="仿宋" w:hAnsi="仿宋" w:eastAsia="仿宋" w:cs="仿宋"/>
          <w:bCs/>
          <w:color w:val="000000" w:themeColor="text1"/>
          <w:sz w:val="32"/>
          <w:szCs w:val="32"/>
          <w14:textFill>
            <w14:solidFill>
              <w14:schemeClr w14:val="tx1"/>
            </w14:solidFill>
          </w14:textFill>
        </w:rPr>
        <w:t>国办发〔2015〕36号文件、《福建省教育厅关于进一步加强高校创新创业教育课程体系建设的指导意见》闽教学〔2018〕2号文件的要求，通过“创新创业”课程教育，使学生掌握创新创业活动所需要的基本知识和基本理论，熟悉创新创业的基本流程和基本方法，激发大学生的创新创业意识，提高学生的创新精神和创业能力，积极融入“双创”时代的社会经济建设。</w:t>
      </w:r>
    </w:p>
    <w:p>
      <w:pPr>
        <w:spacing w:before="156" w:beforeLines="50" w:after="156" w:afterLines="50" w:line="360" w:lineRule="auto"/>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三、教学要求</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课程是一门理论性、政策性、科学性和实践性很强的课程，要求坚持理论讲授与实践操作相结合、小组讨论与角色体验相结合、经验传授与创新创业实践相结合的教学方式，充分调动学生学习、比赛与实践的积极性，不断提高教学质量和水平。具体要求如下所示：</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1.立体模式教学：坚持理论讲授与实践操作相结合，校内导师与校外导师相结合，在校优秀学员与成功校友相结合；</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2.项目导向教学：学生自带创新创业项目报名参训，通过课程辅导后参赛或孵化；</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3.小班开放教学：计划招收不超过50人，部分环节欢迎未选课同学旁听；</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4.团队任务教学：开展小组讨论与角色体验，5人/组，可灵活调整；</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5.成果展示教学：多方式、多途径、公平公正实施学生项目考核。</w:t>
      </w:r>
    </w:p>
    <w:p>
      <w:pPr>
        <w:spacing w:before="156" w:beforeLines="50" w:after="156" w:afterLines="50" w:line="360" w:lineRule="auto"/>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四、师资队伍建设</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1.校内创新创业导师</w:t>
      </w:r>
    </w:p>
    <w:p>
      <w:pPr>
        <w:spacing w:line="360" w:lineRule="auto"/>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刘武强</w:t>
      </w:r>
      <w:r>
        <w:rPr>
          <w:rFonts w:hint="eastAsia" w:ascii="仿宋" w:hAnsi="仿宋" w:eastAsia="仿宋" w:cs="仿宋"/>
          <w:color w:val="000000" w:themeColor="text1"/>
          <w:sz w:val="32"/>
          <w:szCs w:val="32"/>
          <w14:textFill>
            <w14:solidFill>
              <w14:schemeClr w14:val="tx1"/>
            </w14:solidFill>
          </w14:textFill>
        </w:rPr>
        <w:t>：闽南科技学院商学院院长；泉州市、南安市高层次人才；首批泉州市中青年专业“带头人”；南安市电子商务文化协会常务理事；福建省三创赛评委；指导项目获国家级、省级创新创业竞赛金、银、铜奖20余次。</w:t>
      </w:r>
    </w:p>
    <w:p>
      <w:pPr>
        <w:spacing w:line="360" w:lineRule="auto"/>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陈章宫</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闽南科技学院计算机信息学院学生工作负责人，学校创新创业学院（筹）负责人，组织学生参加“互联网</w:t>
      </w:r>
      <w:r>
        <w:rPr>
          <w:rFonts w:hint="eastAsia" w:ascii="仿宋" w:hAnsi="仿宋" w:eastAsia="仿宋" w:cs="仿宋"/>
          <w:color w:val="000000" w:themeColor="text1"/>
          <w:sz w:val="32"/>
          <w:szCs w:val="32"/>
          <w:lang w:val="en-US" w:eastAsia="zh-CN"/>
          <w14:textFill>
            <w14:solidFill>
              <w14:schemeClr w14:val="tx1"/>
            </w14:solidFill>
          </w14:textFill>
        </w:rPr>
        <w:t>+”等创新创业有关大赛10余场，</w:t>
      </w:r>
      <w:r>
        <w:rPr>
          <w:rFonts w:hint="eastAsia" w:ascii="仿宋" w:hAnsi="仿宋" w:eastAsia="仿宋" w:cs="仿宋"/>
          <w:color w:val="000000" w:themeColor="text1"/>
          <w:sz w:val="32"/>
          <w:szCs w:val="32"/>
          <w14:textFill>
            <w14:solidFill>
              <w14:schemeClr w14:val="tx1"/>
            </w14:solidFill>
          </w14:textFill>
        </w:rPr>
        <w:t>指导项目获国家级、省级创新创业竞赛金、银、铜奖10余次。</w:t>
      </w:r>
    </w:p>
    <w:p>
      <w:pPr>
        <w:spacing w:line="360" w:lineRule="auto"/>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谭  鑫</w:t>
      </w:r>
      <w:r>
        <w:rPr>
          <w:rFonts w:hint="eastAsia" w:ascii="仿宋" w:hAnsi="仿宋" w:eastAsia="仿宋" w:cs="仿宋"/>
          <w:color w:val="000000" w:themeColor="text1"/>
          <w:sz w:val="32"/>
          <w:szCs w:val="32"/>
          <w14:textFill>
            <w14:solidFill>
              <w14:schemeClr w14:val="tx1"/>
            </w14:solidFill>
          </w14:textFill>
        </w:rPr>
        <w:t>：闽南科技学院商学院市场营销教研室主任；南安市高层次人才；泉州市党外知识分子联谊会理事；指导项目获国家级、省级创新创业竞赛金、银、铜奖10余次。</w:t>
      </w:r>
    </w:p>
    <w:p>
      <w:pPr>
        <w:spacing w:line="360" w:lineRule="auto"/>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潘昊炜</w:t>
      </w:r>
      <w:r>
        <w:rPr>
          <w:rFonts w:hint="eastAsia" w:ascii="仿宋" w:hAnsi="仿宋" w:eastAsia="仿宋" w:cs="仿宋"/>
          <w:color w:val="000000" w:themeColor="text1"/>
          <w:sz w:val="32"/>
          <w:szCs w:val="32"/>
          <w14:textFill>
            <w14:solidFill>
              <w14:schemeClr w14:val="tx1"/>
            </w14:solidFill>
          </w14:textFill>
        </w:rPr>
        <w:t>：闽南科技学院商学院专任教师；英国格拉斯哥大学国际银行业务与金融专业理学硕士；公司财务顾问；指导项目获省级创新创业竞赛银、铜奖多项。</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2.校外创新创业导师（拟）</w:t>
      </w:r>
    </w:p>
    <w:p>
      <w:pPr>
        <w:spacing w:line="360" w:lineRule="auto"/>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肖  平</w:t>
      </w:r>
      <w:r>
        <w:rPr>
          <w:rFonts w:hint="eastAsia" w:ascii="仿宋" w:hAnsi="仿宋" w:eastAsia="仿宋" w:cs="仿宋"/>
          <w:color w:val="000000" w:themeColor="text1"/>
          <w:sz w:val="32"/>
          <w:szCs w:val="32"/>
          <w14:textFill>
            <w14:solidFill>
              <w14:schemeClr w14:val="tx1"/>
            </w14:solidFill>
          </w14:textFill>
        </w:rPr>
        <w:t>：中国高校创新创业孵化器联盟副理事长；中关村双融信息技术科技成果转化研究院副院长；小成就教育科技董事长，枫红投资集团高级合伙人，用友新道合伙人；MBA客座教授，硕士生导师；教育部等国家部委及多个省厅创新创业类大赛和项目评审专家；全国和福建省深化创新创业教育改革示范高校评估专家组成员；多家集团企业发展顾问、董事；省国资委企业信息化调研和规划专家团成员、省人社厅就业创业专委会副主任、省大学生创新创业基地高级导师、南京大学、厦门大学、东南大学、苏州大学、福州大学、福建农林大学、南通大学等多所高校创新创业导师。</w:t>
      </w:r>
    </w:p>
    <w:p>
      <w:pPr>
        <w:spacing w:line="360" w:lineRule="auto"/>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李  凤</w:t>
      </w:r>
      <w:r>
        <w:rPr>
          <w:rFonts w:hint="eastAsia" w:ascii="仿宋" w:hAnsi="仿宋" w:eastAsia="仿宋" w:cs="仿宋"/>
          <w:color w:val="000000" w:themeColor="text1"/>
          <w:sz w:val="32"/>
          <w:szCs w:val="32"/>
          <w14:textFill>
            <w14:solidFill>
              <w14:schemeClr w14:val="tx1"/>
            </w14:solidFill>
          </w14:textFill>
        </w:rPr>
        <w:t>：国家教育部首批全国万名优秀创新创业导师；2015年全球唯一的年度导师大奖获得者；福建省青年创业促进会执行会长、福建青创导师委员会主席、福建博弈咨询有限公司董事长。</w:t>
      </w:r>
    </w:p>
    <w:p>
      <w:pPr>
        <w:spacing w:line="360" w:lineRule="auto"/>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李儒钦</w:t>
      </w:r>
      <w:r>
        <w:rPr>
          <w:rFonts w:hint="eastAsia" w:ascii="仿宋" w:hAnsi="仿宋" w:eastAsia="仿宋" w:cs="仿宋"/>
          <w:color w:val="000000" w:themeColor="text1"/>
          <w:sz w:val="32"/>
          <w:szCs w:val="32"/>
          <w14:textFill>
            <w14:solidFill>
              <w14:schemeClr w14:val="tx1"/>
            </w14:solidFill>
          </w14:textFill>
        </w:rPr>
        <w:t>：全国万名优秀创新创业导师人才库首批入库导师；新兴青年群体“筑梦计划” 首批梦想导师（台籍）；闽商报新媒体十大闽商风云人物；YBC公益之星优秀评审导师奖；中国青年创业国际计划（YBC）；中国首位台湾籍YBC认证创业导师“</w:t>
      </w:r>
    </w:p>
    <w:p>
      <w:pPr>
        <w:spacing w:line="360" w:lineRule="auto"/>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曹明浩</w:t>
      </w:r>
      <w:r>
        <w:rPr>
          <w:rFonts w:hint="eastAsia" w:ascii="仿宋" w:hAnsi="仿宋" w:eastAsia="仿宋" w:cs="仿宋"/>
          <w:color w:val="000000" w:themeColor="text1"/>
          <w:sz w:val="32"/>
          <w:szCs w:val="32"/>
          <w14:textFill>
            <w14:solidFill>
              <w14:schemeClr w14:val="tx1"/>
            </w14:solidFill>
          </w14:textFill>
        </w:rPr>
        <w:t xml:space="preserve">：天使投资人；贞观文化创始人兼CEO；北大人之家（福建）联合创始人；福建农林大学海丝绸创业学院联合创始人；省人社厅就业与创业专业委员会副主任；北大校友商盟副会长；福建省经信委中小企业服务平台创业导师；福州市青年创业促进会创业导师；新华都商学院创业MBA导师。 </w:t>
      </w:r>
    </w:p>
    <w:p>
      <w:pPr>
        <w:spacing w:line="360" w:lineRule="auto"/>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郭  清</w:t>
      </w:r>
      <w:r>
        <w:rPr>
          <w:rFonts w:hint="eastAsia" w:ascii="仿宋" w:hAnsi="仿宋" w:eastAsia="仿宋" w:cs="仿宋"/>
          <w:color w:val="000000" w:themeColor="text1"/>
          <w:sz w:val="32"/>
          <w:szCs w:val="32"/>
          <w14:textFill>
            <w14:solidFill>
              <w14:schemeClr w14:val="tx1"/>
            </w14:solidFill>
          </w14:textFill>
        </w:rPr>
        <w:t>：博士，福建省优秀创新创业导师；福建省教育厅、福建省互联网促进会导师；和职教杯创新创业大赛、福建省大学生创新创业项目资助项目评审等多个比赛评委；指导学生获中国“互联网+”大学生创新创业大赛银奖、省赛金奖。</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3.优秀创业校友</w:t>
      </w:r>
    </w:p>
    <w:p>
      <w:pPr>
        <w:spacing w:line="360" w:lineRule="auto"/>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陈国建</w:t>
      </w:r>
      <w:r>
        <w:rPr>
          <w:rFonts w:hint="eastAsia" w:ascii="仿宋" w:hAnsi="仿宋" w:eastAsia="仿宋" w:cs="仿宋"/>
          <w:color w:val="000000" w:themeColor="text1"/>
          <w:sz w:val="32"/>
          <w:szCs w:val="32"/>
          <w14:textFill>
            <w14:solidFill>
              <w14:schemeClr w14:val="tx1"/>
            </w14:solidFill>
          </w14:textFill>
        </w:rPr>
        <w:t>：柠檬鸭创始人。</w:t>
      </w:r>
    </w:p>
    <w:p>
      <w:pPr>
        <w:spacing w:line="360" w:lineRule="auto"/>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谢秀强</w:t>
      </w:r>
      <w:r>
        <w:rPr>
          <w:rFonts w:hint="eastAsia" w:ascii="仿宋" w:hAnsi="仿宋" w:eastAsia="仿宋" w:cs="仿宋"/>
          <w:color w:val="000000" w:themeColor="text1"/>
          <w:sz w:val="32"/>
          <w:szCs w:val="32"/>
          <w14:textFill>
            <w14:solidFill>
              <w14:schemeClr w14:val="tx1"/>
            </w14:solidFill>
          </w14:textFill>
        </w:rPr>
        <w:t>：厦门亨猎网络科技有限公司创始人、总经理。</w:t>
      </w:r>
    </w:p>
    <w:p>
      <w:pPr>
        <w:spacing w:before="156" w:beforeLines="50" w:after="156" w:afterLines="50"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五、学时及内容分配</w:t>
      </w:r>
    </w:p>
    <w:tbl>
      <w:tblPr>
        <w:tblStyle w:val="5"/>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601"/>
        <w:gridCol w:w="2902"/>
        <w:gridCol w:w="701"/>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序号</w:t>
            </w:r>
          </w:p>
        </w:tc>
        <w:tc>
          <w:tcPr>
            <w:tcW w:w="160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模块</w:t>
            </w:r>
          </w:p>
        </w:tc>
        <w:tc>
          <w:tcPr>
            <w:tcW w:w="2902"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主题</w:t>
            </w:r>
          </w:p>
        </w:tc>
        <w:tc>
          <w:tcPr>
            <w:tcW w:w="70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学时</w:t>
            </w:r>
          </w:p>
        </w:tc>
        <w:tc>
          <w:tcPr>
            <w:tcW w:w="253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教学内容设计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p>
        </w:tc>
        <w:tc>
          <w:tcPr>
            <w:tcW w:w="1601" w:type="dxa"/>
            <w:vMerge w:val="restart"/>
            <w:vAlign w:val="center"/>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双创理论进阶</w:t>
            </w:r>
          </w:p>
        </w:tc>
        <w:tc>
          <w:tcPr>
            <w:tcW w:w="2902" w:type="dxa"/>
            <w:vAlign w:val="center"/>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双创与学习规划、职业发展</w:t>
            </w:r>
          </w:p>
        </w:tc>
        <w:tc>
          <w:tcPr>
            <w:tcW w:w="70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p>
        </w:tc>
        <w:tc>
          <w:tcPr>
            <w:tcW w:w="2531" w:type="dxa"/>
            <w:vAlign w:val="center"/>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（1）双创与学习规划；</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（2）双创与职业发展。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p>
        </w:tc>
        <w:tc>
          <w:tcPr>
            <w:tcW w:w="1601" w:type="dxa"/>
            <w:vMerge w:val="continue"/>
            <w:vAlign w:val="center"/>
          </w:tcPr>
          <w:p>
            <w:pPr>
              <w:rPr>
                <w:rFonts w:hint="eastAsia" w:ascii="仿宋" w:hAnsi="仿宋" w:eastAsia="仿宋" w:cs="仿宋"/>
                <w:color w:val="000000" w:themeColor="text1"/>
                <w:sz w:val="32"/>
                <w:szCs w:val="32"/>
                <w14:textFill>
                  <w14:solidFill>
                    <w14:schemeClr w14:val="tx1"/>
                  </w14:solidFill>
                </w14:textFill>
              </w:rPr>
            </w:pPr>
          </w:p>
        </w:tc>
        <w:tc>
          <w:tcPr>
            <w:tcW w:w="2902" w:type="dxa"/>
            <w:vAlign w:val="center"/>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创业计划书精讲</w:t>
            </w:r>
          </w:p>
        </w:tc>
        <w:tc>
          <w:tcPr>
            <w:tcW w:w="70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p>
        </w:tc>
        <w:tc>
          <w:tcPr>
            <w:tcW w:w="2531" w:type="dxa"/>
            <w:vAlign w:val="center"/>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（1）创业计划书类型；</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（2）创业计划书结构；</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（3）创业计划书内容。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p>
        </w:tc>
        <w:tc>
          <w:tcPr>
            <w:tcW w:w="1601" w:type="dxa"/>
            <w:vMerge w:val="continue"/>
            <w:vAlign w:val="center"/>
          </w:tcPr>
          <w:p>
            <w:pPr>
              <w:rPr>
                <w:rFonts w:hint="eastAsia" w:ascii="仿宋" w:hAnsi="仿宋" w:eastAsia="仿宋" w:cs="仿宋"/>
                <w:color w:val="000000" w:themeColor="text1"/>
                <w:sz w:val="32"/>
                <w:szCs w:val="32"/>
                <w14:textFill>
                  <w14:solidFill>
                    <w14:schemeClr w14:val="tx1"/>
                  </w14:solidFill>
                </w14:textFill>
              </w:rPr>
            </w:pPr>
          </w:p>
        </w:tc>
        <w:tc>
          <w:tcPr>
            <w:tcW w:w="2902" w:type="dxa"/>
            <w:vAlign w:val="center"/>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项目路演精讲</w:t>
            </w:r>
          </w:p>
        </w:tc>
        <w:tc>
          <w:tcPr>
            <w:tcW w:w="70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p>
        </w:tc>
        <w:tc>
          <w:tcPr>
            <w:tcW w:w="2531" w:type="dxa"/>
            <w:vAlign w:val="center"/>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（1）项目路演PPT设计；</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（2）项目路演技巧。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w:t>
            </w:r>
          </w:p>
        </w:tc>
        <w:tc>
          <w:tcPr>
            <w:tcW w:w="1601" w:type="dxa"/>
            <w:vMerge w:val="continue"/>
            <w:vAlign w:val="center"/>
          </w:tcPr>
          <w:p>
            <w:pPr>
              <w:rPr>
                <w:rFonts w:hint="eastAsia" w:ascii="仿宋" w:hAnsi="仿宋" w:eastAsia="仿宋" w:cs="仿宋"/>
                <w:color w:val="000000" w:themeColor="text1"/>
                <w:sz w:val="32"/>
                <w:szCs w:val="32"/>
                <w14:textFill>
                  <w14:solidFill>
                    <w14:schemeClr w14:val="tx1"/>
                  </w14:solidFill>
                </w14:textFill>
              </w:rPr>
            </w:pPr>
          </w:p>
        </w:tc>
        <w:tc>
          <w:tcPr>
            <w:tcW w:w="2902" w:type="dxa"/>
            <w:vAlign w:val="center"/>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创业财务精讲</w:t>
            </w:r>
          </w:p>
        </w:tc>
        <w:tc>
          <w:tcPr>
            <w:tcW w:w="70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p>
        </w:tc>
        <w:tc>
          <w:tcPr>
            <w:tcW w:w="2531" w:type="dxa"/>
            <w:vAlign w:val="center"/>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（1）BP常用财务指标；</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（2）BP财务预算编制。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w:t>
            </w:r>
          </w:p>
        </w:tc>
        <w:tc>
          <w:tcPr>
            <w:tcW w:w="1601" w:type="dxa"/>
            <w:vMerge w:val="restart"/>
            <w:vAlign w:val="center"/>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双创实践提升</w:t>
            </w:r>
          </w:p>
        </w:tc>
        <w:tc>
          <w:tcPr>
            <w:tcW w:w="2902" w:type="dxa"/>
            <w:vAlign w:val="center"/>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优秀校友创业故事</w:t>
            </w:r>
          </w:p>
        </w:tc>
        <w:tc>
          <w:tcPr>
            <w:tcW w:w="70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p>
        </w:tc>
        <w:tc>
          <w:tcPr>
            <w:tcW w:w="2531" w:type="dxa"/>
            <w:vMerge w:val="restart"/>
            <w:vAlign w:val="center"/>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（1）情境重现；</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（2）创业模拟；</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（3）校友揭密；</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（4）专家提升。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w:t>
            </w:r>
          </w:p>
        </w:tc>
        <w:tc>
          <w:tcPr>
            <w:tcW w:w="1601" w:type="dxa"/>
            <w:vMerge w:val="continue"/>
            <w:vAlign w:val="center"/>
          </w:tcPr>
          <w:p>
            <w:pPr>
              <w:rPr>
                <w:rFonts w:hint="eastAsia" w:ascii="仿宋" w:hAnsi="仿宋" w:eastAsia="仿宋" w:cs="仿宋"/>
                <w:color w:val="000000" w:themeColor="text1"/>
                <w:sz w:val="32"/>
                <w:szCs w:val="32"/>
                <w14:textFill>
                  <w14:solidFill>
                    <w14:schemeClr w14:val="tx1"/>
                  </w14:solidFill>
                </w14:textFill>
              </w:rPr>
            </w:pPr>
          </w:p>
        </w:tc>
        <w:tc>
          <w:tcPr>
            <w:tcW w:w="2902" w:type="dxa"/>
            <w:vAlign w:val="center"/>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企业家座谈</w:t>
            </w:r>
          </w:p>
        </w:tc>
        <w:tc>
          <w:tcPr>
            <w:tcW w:w="70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p>
        </w:tc>
        <w:tc>
          <w:tcPr>
            <w:tcW w:w="2531" w:type="dxa"/>
            <w:vMerge w:val="continue"/>
            <w:vAlign w:val="center"/>
          </w:tcPr>
          <w:p>
            <w:pP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w:t>
            </w:r>
          </w:p>
        </w:tc>
        <w:tc>
          <w:tcPr>
            <w:tcW w:w="1601" w:type="dxa"/>
            <w:vMerge w:val="continue"/>
            <w:vAlign w:val="center"/>
          </w:tcPr>
          <w:p>
            <w:pPr>
              <w:rPr>
                <w:rFonts w:hint="eastAsia" w:ascii="仿宋" w:hAnsi="仿宋" w:eastAsia="仿宋" w:cs="仿宋"/>
                <w:color w:val="000000" w:themeColor="text1"/>
                <w:sz w:val="32"/>
                <w:szCs w:val="32"/>
                <w14:textFill>
                  <w14:solidFill>
                    <w14:schemeClr w14:val="tx1"/>
                  </w14:solidFill>
                </w14:textFill>
              </w:rPr>
            </w:pPr>
          </w:p>
        </w:tc>
        <w:tc>
          <w:tcPr>
            <w:tcW w:w="2902" w:type="dxa"/>
            <w:vAlign w:val="center"/>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企业实地参访</w:t>
            </w:r>
          </w:p>
        </w:tc>
        <w:tc>
          <w:tcPr>
            <w:tcW w:w="70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p>
        </w:tc>
        <w:tc>
          <w:tcPr>
            <w:tcW w:w="2531" w:type="dxa"/>
            <w:vMerge w:val="continue"/>
            <w:vAlign w:val="center"/>
          </w:tcPr>
          <w:p>
            <w:pP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w:t>
            </w:r>
          </w:p>
        </w:tc>
        <w:tc>
          <w:tcPr>
            <w:tcW w:w="1601" w:type="dxa"/>
            <w:vMerge w:val="continue"/>
            <w:vAlign w:val="center"/>
          </w:tcPr>
          <w:p>
            <w:pPr>
              <w:rPr>
                <w:rFonts w:hint="eastAsia" w:ascii="仿宋" w:hAnsi="仿宋" w:eastAsia="仿宋" w:cs="仿宋"/>
                <w:color w:val="000000" w:themeColor="text1"/>
                <w:sz w:val="32"/>
                <w:szCs w:val="32"/>
                <w14:textFill>
                  <w14:solidFill>
                    <w14:schemeClr w14:val="tx1"/>
                  </w14:solidFill>
                </w14:textFill>
              </w:rPr>
            </w:pPr>
          </w:p>
        </w:tc>
        <w:tc>
          <w:tcPr>
            <w:tcW w:w="2902" w:type="dxa"/>
            <w:vAlign w:val="center"/>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校外名师辅导</w:t>
            </w:r>
          </w:p>
        </w:tc>
        <w:tc>
          <w:tcPr>
            <w:tcW w:w="70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p>
        </w:tc>
        <w:tc>
          <w:tcPr>
            <w:tcW w:w="2531" w:type="dxa"/>
            <w:vMerge w:val="continue"/>
            <w:vAlign w:val="center"/>
          </w:tcPr>
          <w:p>
            <w:pP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9</w:t>
            </w:r>
          </w:p>
        </w:tc>
        <w:tc>
          <w:tcPr>
            <w:tcW w:w="1601" w:type="dxa"/>
            <w:vMerge w:val="continue"/>
            <w:vAlign w:val="center"/>
          </w:tcPr>
          <w:p>
            <w:pPr>
              <w:rPr>
                <w:rFonts w:hint="eastAsia" w:ascii="仿宋" w:hAnsi="仿宋" w:eastAsia="仿宋" w:cs="仿宋"/>
                <w:color w:val="000000" w:themeColor="text1"/>
                <w:sz w:val="32"/>
                <w:szCs w:val="32"/>
                <w14:textFill>
                  <w14:solidFill>
                    <w14:schemeClr w14:val="tx1"/>
                  </w14:solidFill>
                </w14:textFill>
              </w:rPr>
            </w:pPr>
          </w:p>
        </w:tc>
        <w:tc>
          <w:tcPr>
            <w:tcW w:w="2902" w:type="dxa"/>
            <w:vAlign w:val="center"/>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兄弟院校交流</w:t>
            </w:r>
          </w:p>
        </w:tc>
        <w:tc>
          <w:tcPr>
            <w:tcW w:w="70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p>
        </w:tc>
        <w:tc>
          <w:tcPr>
            <w:tcW w:w="2531" w:type="dxa"/>
            <w:vAlign w:val="center"/>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创新创业经验分享交流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w:t>
            </w:r>
          </w:p>
        </w:tc>
        <w:tc>
          <w:tcPr>
            <w:tcW w:w="1601" w:type="dxa"/>
            <w:vAlign w:val="center"/>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期末考试</w:t>
            </w:r>
          </w:p>
        </w:tc>
        <w:tc>
          <w:tcPr>
            <w:tcW w:w="2902" w:type="dxa"/>
            <w:vAlign w:val="center"/>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创新创业项目+路演</w:t>
            </w:r>
          </w:p>
        </w:tc>
        <w:tc>
          <w:tcPr>
            <w:tcW w:w="70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p>
        </w:tc>
        <w:tc>
          <w:tcPr>
            <w:tcW w:w="2531" w:type="dxa"/>
            <w:vAlign w:val="center"/>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路演厅情境模拟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53" w:type="dxa"/>
            <w:gridSpan w:val="3"/>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合计</w:t>
            </w:r>
          </w:p>
        </w:tc>
        <w:tc>
          <w:tcPr>
            <w:tcW w:w="3232" w:type="dxa"/>
            <w:gridSpan w:val="2"/>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24</w:t>
            </w:r>
          </w:p>
        </w:tc>
      </w:tr>
    </w:tbl>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双创实践提升环节的具体实施： </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1.情境重现</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主题：优秀校友创业故事</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教学思路：引入2至3个优秀校友创业案例，通过故事描述的方法重现当年创业情境，激发学生学习兴趣，提升参与积极性。</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2.创业模拟</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主题：优秀校友企业故事</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思路：通过小组抽签或课程组指定的方式，每个团队选定一个真实创业案例，模拟创业者设计经营策略，形成创业模拟经营初案。</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3.校友揭密</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主题：企业家座谈+企业实地参访</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思路：优秀校友还原创业过程，并引导各团队自检、自评其创业模拟经营初案，最后课程组组织各团队实地参访企业和完成创业模拟经营中案。</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4.专家提升</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主题：校外名师辅导</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思路：第一，创业模拟经营中案评价；第二，团队创新创业项目提升。</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5.创新创业经验分享交流</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主题：兄弟院校交流</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思路：讲座或参访。</w:t>
      </w:r>
    </w:p>
    <w:p>
      <w:pPr>
        <w:spacing w:before="156" w:beforeLines="50" w:after="156" w:afterLines="50"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六、教学方法</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参与式教学法、情境教学法、案例教学法、实验教学法。</w:t>
      </w:r>
    </w:p>
    <w:p>
      <w:pPr>
        <w:spacing w:before="156" w:beforeLines="50" w:after="156" w:afterLines="50" w:line="360" w:lineRule="auto"/>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七、参考教材</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《创新思维与创业教育》，王中强等，清华大学出版社，2017年，第1版；</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《互联网+大学生创新创业基础与实践》，叶明全等，科学出版社，2017年，第1版；</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《有序创业24步法：创新型创业成功的方法论》，比尔，机械工业出版社，2017年，第1版；</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《创业画布》，刘志阳，机械工业出版社，2018年，第1版。</w:t>
      </w:r>
    </w:p>
    <w:p>
      <w:pPr>
        <w:spacing w:before="156" w:beforeLines="50" w:after="156" w:afterLines="50" w:line="360" w:lineRule="auto"/>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八、考核方法</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考核方式：考查</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考核形式：期末考查（创新创业项目+项目路演）</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成绩评定：平时成绩（</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0%）+期末成绩（50%）</w:t>
      </w:r>
    </w:p>
    <w:p>
      <w:pPr>
        <w:spacing w:line="360" w:lineRule="auto"/>
        <w:ind w:left="120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平时成绩：出勤、课程参与度等</w:t>
      </w:r>
    </w:p>
    <w:p>
      <w:pPr>
        <w:spacing w:line="360" w:lineRule="auto"/>
        <w:ind w:left="120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期末成绩：项目路演得分</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p>
    <w:p>
      <w:pPr>
        <w:spacing w:line="360" w:lineRule="auto"/>
        <w:ind w:firstLine="640" w:firstLineChars="200"/>
        <w:jc w:val="center"/>
        <w:rPr>
          <w:rFonts w:hint="eastAsia" w:ascii="仿宋" w:hAnsi="仿宋" w:eastAsia="仿宋" w:cs="仿宋"/>
          <w:sz w:val="32"/>
          <w:szCs w:val="32"/>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28"/>
    <w:rsid w:val="000407D6"/>
    <w:rsid w:val="001161B4"/>
    <w:rsid w:val="00132BF1"/>
    <w:rsid w:val="001621FD"/>
    <w:rsid w:val="00172C1D"/>
    <w:rsid w:val="001F3CD3"/>
    <w:rsid w:val="00216511"/>
    <w:rsid w:val="00253093"/>
    <w:rsid w:val="002A4E37"/>
    <w:rsid w:val="002C1D9F"/>
    <w:rsid w:val="002D776E"/>
    <w:rsid w:val="002F7F77"/>
    <w:rsid w:val="00355592"/>
    <w:rsid w:val="003649B6"/>
    <w:rsid w:val="003A0A3A"/>
    <w:rsid w:val="003C74E3"/>
    <w:rsid w:val="0043052D"/>
    <w:rsid w:val="004E0B28"/>
    <w:rsid w:val="004F59ED"/>
    <w:rsid w:val="004F6745"/>
    <w:rsid w:val="00532BE9"/>
    <w:rsid w:val="00595E84"/>
    <w:rsid w:val="005C0A33"/>
    <w:rsid w:val="005C3ADA"/>
    <w:rsid w:val="005C793F"/>
    <w:rsid w:val="00630F69"/>
    <w:rsid w:val="00631922"/>
    <w:rsid w:val="00674362"/>
    <w:rsid w:val="00687C6A"/>
    <w:rsid w:val="00694988"/>
    <w:rsid w:val="006D23C1"/>
    <w:rsid w:val="00725AA9"/>
    <w:rsid w:val="0073417D"/>
    <w:rsid w:val="007378F6"/>
    <w:rsid w:val="00757448"/>
    <w:rsid w:val="007A2E75"/>
    <w:rsid w:val="007B5CA9"/>
    <w:rsid w:val="007F2426"/>
    <w:rsid w:val="008C1271"/>
    <w:rsid w:val="008E0226"/>
    <w:rsid w:val="00952739"/>
    <w:rsid w:val="00960700"/>
    <w:rsid w:val="00A05FF3"/>
    <w:rsid w:val="00A45586"/>
    <w:rsid w:val="00A66E31"/>
    <w:rsid w:val="00A92B05"/>
    <w:rsid w:val="00AB1C40"/>
    <w:rsid w:val="00B916B5"/>
    <w:rsid w:val="00BE056F"/>
    <w:rsid w:val="00C17AF9"/>
    <w:rsid w:val="00C755F2"/>
    <w:rsid w:val="00D202E5"/>
    <w:rsid w:val="00DA6062"/>
    <w:rsid w:val="00E06869"/>
    <w:rsid w:val="00E163F8"/>
    <w:rsid w:val="00E2397E"/>
    <w:rsid w:val="00E509C4"/>
    <w:rsid w:val="00E77A5B"/>
    <w:rsid w:val="00ED63CF"/>
    <w:rsid w:val="00F00E57"/>
    <w:rsid w:val="00F7547E"/>
    <w:rsid w:val="00F86046"/>
    <w:rsid w:val="00FA5A76"/>
    <w:rsid w:val="00FE75C2"/>
    <w:rsid w:val="00FF1BE4"/>
    <w:rsid w:val="07D077B7"/>
    <w:rsid w:val="219E2524"/>
    <w:rsid w:val="26DD04FA"/>
    <w:rsid w:val="2A660AC4"/>
    <w:rsid w:val="2FE14BE3"/>
    <w:rsid w:val="43E52BC4"/>
    <w:rsid w:val="50F01C4F"/>
    <w:rsid w:val="537951C7"/>
    <w:rsid w:val="5E9B4A55"/>
    <w:rsid w:val="66217D32"/>
    <w:rsid w:val="759E32CD"/>
    <w:rsid w:val="788B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411</Words>
  <Characters>2343</Characters>
  <Lines>19</Lines>
  <Paragraphs>5</Paragraphs>
  <TotalTime>12</TotalTime>
  <ScaleCrop>false</ScaleCrop>
  <LinksUpToDate>false</LinksUpToDate>
  <CharactersWithSpaces>2749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2018-09-03T09:19:00Z</dcterms:created>
  <dc:creator>谭鑫</dc:creator>
  <cp:lastModifiedBy>摆渡</cp:lastModifiedBy>
  <dcterms:modified xsi:type="dcterms:W3CDTF">2019-11-04T03:03:20Z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